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8" w:rsidRDefault="00EE65B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Careers Policy Statement </w:t>
      </w:r>
    </w:p>
    <w:p w:rsidR="00F2004B" w:rsidRDefault="0030076A">
      <w:pPr>
        <w:rPr>
          <w:b/>
          <w:sz w:val="28"/>
          <w:szCs w:val="28"/>
          <w:lang w:val="en-GB"/>
        </w:rPr>
      </w:pPr>
      <w:r w:rsidRPr="0030076A">
        <w:rPr>
          <w:b/>
          <w:sz w:val="28"/>
          <w:szCs w:val="28"/>
          <w:lang w:val="en-GB"/>
        </w:rPr>
        <w:t xml:space="preserve"> </w:t>
      </w:r>
    </w:p>
    <w:p w:rsidR="0030076A" w:rsidRPr="0030076A" w:rsidRDefault="0030076A" w:rsidP="0030076A">
      <w:pPr>
        <w:rPr>
          <w:b/>
          <w:sz w:val="24"/>
          <w:szCs w:val="24"/>
          <w:lang w:val="en-GB"/>
        </w:rPr>
      </w:pPr>
      <w:r w:rsidRPr="0030076A">
        <w:rPr>
          <w:b/>
          <w:sz w:val="24"/>
          <w:szCs w:val="24"/>
          <w:lang w:val="en-GB"/>
        </w:rPr>
        <w:t xml:space="preserve">Introduction </w:t>
      </w:r>
    </w:p>
    <w:p w:rsidR="0030076A" w:rsidRPr="0030076A" w:rsidRDefault="00D75E10" w:rsidP="003007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Smannell Field School</w:t>
      </w:r>
      <w:r w:rsidR="0030076A" w:rsidRPr="0030076A">
        <w:rPr>
          <w:sz w:val="24"/>
          <w:szCs w:val="24"/>
          <w:lang w:val="en-GB"/>
        </w:rPr>
        <w:t xml:space="preserve"> provides a relevant and engaging careers curriculum which meets the differing needs and requirements of our </w:t>
      </w:r>
      <w:r w:rsidR="0030076A">
        <w:rPr>
          <w:sz w:val="24"/>
          <w:szCs w:val="24"/>
          <w:lang w:val="en-GB"/>
        </w:rPr>
        <w:t>students</w:t>
      </w:r>
      <w:r w:rsidR="0030076A" w:rsidRPr="0030076A">
        <w:rPr>
          <w:sz w:val="24"/>
          <w:szCs w:val="24"/>
          <w:lang w:val="en-GB"/>
        </w:rPr>
        <w:t xml:space="preserve">. This is developed throughout a </w:t>
      </w:r>
      <w:r w:rsidR="0030076A">
        <w:rPr>
          <w:sz w:val="24"/>
          <w:szCs w:val="24"/>
          <w:lang w:val="en-GB"/>
        </w:rPr>
        <w:t xml:space="preserve">student’s time at the </w:t>
      </w:r>
      <w:r w:rsidR="00550319">
        <w:rPr>
          <w:sz w:val="24"/>
          <w:szCs w:val="24"/>
          <w:lang w:val="en-GB"/>
        </w:rPr>
        <w:t>Centre</w:t>
      </w:r>
      <w:r w:rsidR="0030076A" w:rsidRPr="0030076A">
        <w:rPr>
          <w:sz w:val="24"/>
          <w:szCs w:val="24"/>
          <w:lang w:val="en-GB"/>
        </w:rPr>
        <w:t xml:space="preserve"> and is always supportive of their abilities, strengths and skills.</w:t>
      </w:r>
    </w:p>
    <w:p w:rsidR="0030076A" w:rsidRPr="0030076A" w:rsidRDefault="0030076A" w:rsidP="0030076A">
      <w:pPr>
        <w:rPr>
          <w:sz w:val="24"/>
          <w:szCs w:val="24"/>
          <w:lang w:val="en-GB"/>
        </w:rPr>
      </w:pPr>
      <w:r w:rsidRPr="0030076A">
        <w:rPr>
          <w:sz w:val="24"/>
          <w:szCs w:val="24"/>
          <w:lang w:val="en-GB"/>
        </w:rPr>
        <w:t> </w:t>
      </w:r>
    </w:p>
    <w:p w:rsidR="0030076A" w:rsidRPr="0030076A" w:rsidRDefault="0030076A" w:rsidP="0030076A">
      <w:pPr>
        <w:rPr>
          <w:b/>
          <w:sz w:val="24"/>
          <w:szCs w:val="24"/>
          <w:lang w:val="en-GB"/>
        </w:rPr>
      </w:pPr>
      <w:r w:rsidRPr="0030076A">
        <w:rPr>
          <w:b/>
          <w:sz w:val="24"/>
          <w:szCs w:val="24"/>
          <w:lang w:val="en-GB"/>
        </w:rPr>
        <w:t xml:space="preserve">Aims and purpose </w:t>
      </w:r>
    </w:p>
    <w:p w:rsidR="0030076A" w:rsidRPr="0030076A" w:rsidRDefault="00EE65B8" w:rsidP="0030076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</w:t>
      </w:r>
      <w:r w:rsidR="0030076A" w:rsidRPr="0030076A">
        <w:rPr>
          <w:sz w:val="24"/>
          <w:szCs w:val="24"/>
          <w:lang w:val="en-GB"/>
        </w:rPr>
        <w:t>repare students for the tr</w:t>
      </w:r>
      <w:r w:rsidR="0030076A">
        <w:rPr>
          <w:sz w:val="24"/>
          <w:szCs w:val="24"/>
          <w:lang w:val="en-GB"/>
        </w:rPr>
        <w:t xml:space="preserve">ansition to life after </w:t>
      </w:r>
      <w:r w:rsidR="00D75E10">
        <w:rPr>
          <w:sz w:val="24"/>
          <w:szCs w:val="24"/>
          <w:lang w:val="en-GB"/>
        </w:rPr>
        <w:t>school</w:t>
      </w:r>
    </w:p>
    <w:p w:rsidR="00EE65B8" w:rsidRDefault="00EE65B8" w:rsidP="0030076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s</w:t>
      </w:r>
      <w:r w:rsidR="0030076A" w:rsidRPr="00EE65B8">
        <w:rPr>
          <w:sz w:val="24"/>
          <w:szCs w:val="24"/>
          <w:lang w:val="en-GB"/>
        </w:rPr>
        <w:t xml:space="preserve">upport students in making informed decisions </w:t>
      </w:r>
    </w:p>
    <w:p w:rsidR="0030076A" w:rsidRPr="00EE65B8" w:rsidRDefault="00EE65B8" w:rsidP="0030076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d</w:t>
      </w:r>
      <w:r w:rsidR="0030076A" w:rsidRPr="00EE65B8">
        <w:rPr>
          <w:sz w:val="24"/>
          <w:szCs w:val="24"/>
          <w:lang w:val="en-GB"/>
        </w:rPr>
        <w:t>evelop personal charact</w:t>
      </w:r>
      <w:r>
        <w:rPr>
          <w:sz w:val="24"/>
          <w:szCs w:val="24"/>
          <w:lang w:val="en-GB"/>
        </w:rPr>
        <w:t xml:space="preserve">eristics e.g. </w:t>
      </w:r>
      <w:r w:rsidR="0030076A" w:rsidRPr="00EE65B8">
        <w:rPr>
          <w:sz w:val="24"/>
          <w:szCs w:val="24"/>
          <w:lang w:val="en-GB"/>
        </w:rPr>
        <w:t>effective communication, independence and resilience</w:t>
      </w:r>
      <w:r>
        <w:rPr>
          <w:sz w:val="24"/>
          <w:szCs w:val="24"/>
          <w:lang w:val="en-GB"/>
        </w:rPr>
        <w:t xml:space="preserve"> which will sustain them on their onward transition</w:t>
      </w:r>
    </w:p>
    <w:p w:rsidR="0030076A" w:rsidRPr="0030076A" w:rsidRDefault="0030076A" w:rsidP="0030076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0076A">
        <w:rPr>
          <w:sz w:val="24"/>
          <w:szCs w:val="24"/>
          <w:lang w:val="en-GB"/>
        </w:rPr>
        <w:t xml:space="preserve">Inspire and motivate students to </w:t>
      </w:r>
      <w:r w:rsidR="00EE65B8">
        <w:rPr>
          <w:sz w:val="24"/>
          <w:szCs w:val="24"/>
          <w:lang w:val="en-GB"/>
        </w:rPr>
        <w:t>be aspirational and aim high</w:t>
      </w:r>
    </w:p>
    <w:p w:rsidR="0030076A" w:rsidRPr="0030076A" w:rsidRDefault="0030076A" w:rsidP="0030076A">
      <w:pPr>
        <w:rPr>
          <w:sz w:val="24"/>
          <w:szCs w:val="24"/>
          <w:lang w:val="en-GB"/>
        </w:rPr>
      </w:pPr>
      <w:r w:rsidRPr="0030076A">
        <w:rPr>
          <w:sz w:val="24"/>
          <w:szCs w:val="24"/>
          <w:lang w:val="en-GB"/>
        </w:rPr>
        <w:t> </w:t>
      </w:r>
    </w:p>
    <w:p w:rsidR="0030076A" w:rsidRDefault="0030076A" w:rsidP="0030076A">
      <w:pPr>
        <w:rPr>
          <w:sz w:val="24"/>
          <w:szCs w:val="24"/>
          <w:lang w:val="en-GB"/>
        </w:rPr>
      </w:pPr>
      <w:r w:rsidRPr="0030076A">
        <w:rPr>
          <w:sz w:val="24"/>
          <w:szCs w:val="24"/>
          <w:lang w:val="en-GB"/>
        </w:rPr>
        <w:t>This policy summarises the statutory guidance and recommendations. It then outlines the provision of careers education, work experience and provider access.</w:t>
      </w:r>
    </w:p>
    <w:p w:rsidR="0030076A" w:rsidRDefault="0030076A" w:rsidP="0030076A">
      <w:pPr>
        <w:rPr>
          <w:sz w:val="24"/>
          <w:szCs w:val="24"/>
          <w:lang w:val="en-GB"/>
        </w:rPr>
      </w:pPr>
    </w:p>
    <w:p w:rsidR="0030076A" w:rsidRPr="0030076A" w:rsidRDefault="0030076A" w:rsidP="0030076A">
      <w:pPr>
        <w:rPr>
          <w:b/>
          <w:sz w:val="24"/>
          <w:szCs w:val="24"/>
          <w:lang w:val="en-GB"/>
        </w:rPr>
      </w:pPr>
      <w:r w:rsidRPr="0030076A">
        <w:rPr>
          <w:b/>
          <w:sz w:val="24"/>
          <w:szCs w:val="24"/>
          <w:lang w:val="en-GB"/>
        </w:rPr>
        <w:t>Statutory requirements and recommendations  </w:t>
      </w:r>
    </w:p>
    <w:p w:rsidR="0030076A" w:rsidRDefault="0030076A" w:rsidP="0030076A">
      <w:pPr>
        <w:rPr>
          <w:sz w:val="24"/>
          <w:szCs w:val="24"/>
          <w:lang w:val="en-GB"/>
        </w:rPr>
      </w:pPr>
      <w:r w:rsidRPr="0030076A">
        <w:rPr>
          <w:sz w:val="24"/>
          <w:szCs w:val="24"/>
          <w:lang w:val="en-GB"/>
        </w:rPr>
        <w:t xml:space="preserve">The careers provision at </w:t>
      </w:r>
      <w:r w:rsidR="00D75E10">
        <w:rPr>
          <w:sz w:val="24"/>
          <w:szCs w:val="24"/>
          <w:lang w:val="en-GB"/>
        </w:rPr>
        <w:t>Smannell Field School</w:t>
      </w:r>
      <w:r w:rsidRPr="0030076A">
        <w:rPr>
          <w:sz w:val="24"/>
          <w:szCs w:val="24"/>
          <w:lang w:val="en-GB"/>
        </w:rPr>
        <w:t xml:space="preserve"> is in line with statutory guidance developed by the Department for Education, which refers to Section 42A and 45A of the Education Act 1997.</w:t>
      </w:r>
      <w:r>
        <w:rPr>
          <w:sz w:val="24"/>
          <w:szCs w:val="24"/>
          <w:lang w:val="en-GB"/>
        </w:rPr>
        <w:t xml:space="preserve"> It also embraces the Gatsby Benchmarks (8) which </w:t>
      </w:r>
      <w:r w:rsidR="00550319">
        <w:rPr>
          <w:sz w:val="24"/>
          <w:szCs w:val="24"/>
          <w:lang w:val="en-GB"/>
        </w:rPr>
        <w:t>Centre</w:t>
      </w:r>
      <w:r>
        <w:rPr>
          <w:sz w:val="24"/>
          <w:szCs w:val="24"/>
          <w:lang w:val="en-GB"/>
        </w:rPr>
        <w:t xml:space="preserve">s are expected to </w:t>
      </w:r>
      <w:r w:rsidR="00773130">
        <w:rPr>
          <w:sz w:val="24"/>
          <w:szCs w:val="24"/>
          <w:lang w:val="en-GB"/>
        </w:rPr>
        <w:t>work towards and fully embed by</w:t>
      </w:r>
      <w:r>
        <w:rPr>
          <w:sz w:val="24"/>
          <w:szCs w:val="24"/>
          <w:lang w:val="en-GB"/>
        </w:rPr>
        <w:t xml:space="preserve"> 2020</w:t>
      </w:r>
      <w:r w:rsidR="00773130">
        <w:rPr>
          <w:sz w:val="24"/>
          <w:szCs w:val="24"/>
          <w:lang w:val="en-GB"/>
        </w:rPr>
        <w:t>.</w:t>
      </w:r>
    </w:p>
    <w:p w:rsidR="00773130" w:rsidRPr="0030076A" w:rsidRDefault="00773130" w:rsidP="0030076A">
      <w:pPr>
        <w:rPr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3659389" wp14:editId="5AD9BBA5">
            <wp:extent cx="5943600" cy="56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6A" w:rsidRPr="0030076A" w:rsidRDefault="0030076A" w:rsidP="003007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principles are</w:t>
      </w:r>
      <w:r w:rsidRPr="0030076A">
        <w:rPr>
          <w:sz w:val="24"/>
          <w:szCs w:val="24"/>
          <w:lang w:val="en-GB"/>
        </w:rPr>
        <w:t xml:space="preserve"> that all </w:t>
      </w:r>
      <w:r w:rsidR="00D75E10">
        <w:rPr>
          <w:sz w:val="24"/>
          <w:szCs w:val="24"/>
          <w:lang w:val="en-GB"/>
        </w:rPr>
        <w:t>schools</w:t>
      </w:r>
      <w:r w:rsidRPr="0030076A">
        <w:rPr>
          <w:sz w:val="24"/>
          <w:szCs w:val="24"/>
          <w:lang w:val="en-GB"/>
        </w:rPr>
        <w:t xml:space="preserve"> should provide independent careers guidance from Years 8 -13 and that this guidance should:</w:t>
      </w:r>
    </w:p>
    <w:p w:rsidR="0030076A" w:rsidRPr="00506883" w:rsidRDefault="00506883" w:rsidP="00506883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Be</w:t>
      </w:r>
      <w:r w:rsidR="0030076A" w:rsidRPr="00506883">
        <w:rPr>
          <w:sz w:val="24"/>
          <w:szCs w:val="24"/>
          <w:lang w:val="en-GB"/>
        </w:rPr>
        <w:t xml:space="preserve"> impartial</w:t>
      </w:r>
    </w:p>
    <w:p w:rsidR="0030076A" w:rsidRPr="00506883" w:rsidRDefault="00506883" w:rsidP="00506883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Include</w:t>
      </w:r>
      <w:r w:rsidR="0030076A" w:rsidRPr="00506883">
        <w:rPr>
          <w:sz w:val="24"/>
          <w:szCs w:val="24"/>
          <w:lang w:val="en-GB"/>
        </w:rPr>
        <w:t xml:space="preserve"> information on a range of pathways including; 6</w:t>
      </w:r>
      <w:r w:rsidR="0030076A" w:rsidRPr="00506883">
        <w:rPr>
          <w:sz w:val="24"/>
          <w:szCs w:val="24"/>
          <w:vertAlign w:val="superscript"/>
          <w:lang w:val="en-GB"/>
        </w:rPr>
        <w:t>th</w:t>
      </w:r>
      <w:r w:rsidR="0030076A" w:rsidRPr="00506883">
        <w:rPr>
          <w:sz w:val="24"/>
          <w:szCs w:val="24"/>
          <w:lang w:val="en-GB"/>
        </w:rPr>
        <w:t xml:space="preserve"> Form provision, Traineeships, Apprenticeships, Technical Qualifications, FE College courses and e</w:t>
      </w:r>
      <w:r w:rsidR="00EE65B8">
        <w:rPr>
          <w:sz w:val="24"/>
          <w:szCs w:val="24"/>
          <w:lang w:val="en-GB"/>
        </w:rPr>
        <w:t>mployment with further training</w:t>
      </w:r>
    </w:p>
    <w:p w:rsidR="0030076A" w:rsidRPr="00506883" w:rsidRDefault="00506883" w:rsidP="00506883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Be</w:t>
      </w:r>
      <w:r w:rsidR="0030076A" w:rsidRPr="00506883">
        <w:rPr>
          <w:sz w:val="24"/>
          <w:szCs w:val="24"/>
          <w:lang w:val="en-GB"/>
        </w:rPr>
        <w:t xml:space="preserve"> adapted to the needs of the student</w:t>
      </w:r>
    </w:p>
    <w:p w:rsidR="00124CEF" w:rsidRDefault="00124CEF" w:rsidP="0030076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Careers Statement</w:t>
      </w:r>
    </w:p>
    <w:p w:rsidR="0030076A" w:rsidRPr="0030076A" w:rsidRDefault="0030076A" w:rsidP="0030076A">
      <w:pPr>
        <w:rPr>
          <w:b/>
          <w:sz w:val="24"/>
          <w:szCs w:val="24"/>
          <w:lang w:val="en-GB"/>
        </w:rPr>
      </w:pPr>
      <w:r w:rsidRPr="0030076A">
        <w:rPr>
          <w:b/>
          <w:sz w:val="24"/>
          <w:szCs w:val="24"/>
          <w:lang w:val="en-GB"/>
        </w:rPr>
        <w:t xml:space="preserve">Careers Provision at </w:t>
      </w:r>
      <w:r w:rsidR="00D75E10">
        <w:rPr>
          <w:b/>
          <w:sz w:val="24"/>
          <w:szCs w:val="24"/>
          <w:lang w:val="en-GB"/>
        </w:rPr>
        <w:t>Smannell Field School</w:t>
      </w:r>
    </w:p>
    <w:p w:rsidR="0030076A" w:rsidRDefault="0030076A" w:rsidP="0030076A">
      <w:pPr>
        <w:rPr>
          <w:sz w:val="24"/>
          <w:szCs w:val="24"/>
          <w:lang w:val="en-GB"/>
        </w:rPr>
      </w:pPr>
      <w:r w:rsidRPr="0030076A">
        <w:rPr>
          <w:sz w:val="24"/>
          <w:szCs w:val="24"/>
          <w:lang w:val="en-GB"/>
        </w:rPr>
        <w:t xml:space="preserve">All </w:t>
      </w:r>
      <w:r>
        <w:rPr>
          <w:sz w:val="24"/>
          <w:szCs w:val="24"/>
          <w:lang w:val="en-GB"/>
        </w:rPr>
        <w:t>students</w:t>
      </w:r>
      <w:r w:rsidRPr="0030076A">
        <w:rPr>
          <w:sz w:val="24"/>
          <w:szCs w:val="24"/>
          <w:lang w:val="en-GB"/>
        </w:rPr>
        <w:t xml:space="preserve"> have access to the following:</w:t>
      </w:r>
    </w:p>
    <w:p w:rsidR="00EE65B8" w:rsidRDefault="00EE65B8" w:rsidP="00EE65B8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students have advice and guidance from a specialist adviser from Hampshire Futures; a careers and employability service</w:t>
      </w:r>
    </w:p>
    <w:p w:rsidR="00EE65B8" w:rsidRDefault="00EE65B8" w:rsidP="00EE65B8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students engage in a curriculum that prepares them to fully engage in opportunities that are available to them post-16</w:t>
      </w:r>
    </w:p>
    <w:p w:rsidR="00EE65B8" w:rsidRDefault="00EE65B8" w:rsidP="00EE65B8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students have the opportunity at the </w:t>
      </w:r>
      <w:r w:rsidR="00550319">
        <w:rPr>
          <w:sz w:val="24"/>
          <w:szCs w:val="24"/>
          <w:lang w:val="en-GB"/>
        </w:rPr>
        <w:t>Centre</w:t>
      </w:r>
      <w:r>
        <w:rPr>
          <w:sz w:val="24"/>
          <w:szCs w:val="24"/>
          <w:lang w:val="en-GB"/>
        </w:rPr>
        <w:t xml:space="preserve"> to meet with </w:t>
      </w:r>
      <w:r w:rsidR="0073671D">
        <w:rPr>
          <w:sz w:val="24"/>
          <w:szCs w:val="24"/>
          <w:lang w:val="en-GB"/>
        </w:rPr>
        <w:t>representatives from local colleges</w:t>
      </w:r>
    </w:p>
    <w:p w:rsidR="0030076A" w:rsidRPr="00506883" w:rsidRDefault="00EE65B8" w:rsidP="00506883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students </w:t>
      </w:r>
      <w:r w:rsidR="0073671D">
        <w:rPr>
          <w:sz w:val="24"/>
          <w:szCs w:val="24"/>
          <w:lang w:val="en-GB"/>
        </w:rPr>
        <w:t xml:space="preserve">will have access to </w:t>
      </w:r>
      <w:r w:rsidR="0030076A" w:rsidRPr="00506883">
        <w:rPr>
          <w:sz w:val="24"/>
          <w:szCs w:val="24"/>
          <w:lang w:val="en-GB"/>
        </w:rPr>
        <w:t>off</w:t>
      </w:r>
      <w:r w:rsidR="0073671D">
        <w:rPr>
          <w:sz w:val="24"/>
          <w:szCs w:val="24"/>
          <w:lang w:val="en-GB"/>
        </w:rPr>
        <w:t>-</w:t>
      </w:r>
      <w:r w:rsidR="0030076A" w:rsidRPr="00506883">
        <w:rPr>
          <w:sz w:val="24"/>
          <w:szCs w:val="24"/>
          <w:lang w:val="en-GB"/>
        </w:rPr>
        <w:t xml:space="preserve">site support </w:t>
      </w:r>
      <w:r w:rsidR="0073671D">
        <w:rPr>
          <w:sz w:val="24"/>
          <w:szCs w:val="24"/>
          <w:lang w:val="en-GB"/>
        </w:rPr>
        <w:t>when meeting with potential employers, traineeship or apprenticeship providers</w:t>
      </w:r>
    </w:p>
    <w:p w:rsidR="0073671D" w:rsidRDefault="0073671D" w:rsidP="00506883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students have access to relevant local careers events</w:t>
      </w:r>
    </w:p>
    <w:p w:rsidR="0030076A" w:rsidRPr="0073671D" w:rsidRDefault="0073671D" w:rsidP="0073671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students have access to support that enables them to successfully transition to their post-16 destination (wherever it may be)</w:t>
      </w:r>
    </w:p>
    <w:p w:rsidR="00506883" w:rsidRPr="00506883" w:rsidRDefault="0073671D" w:rsidP="00506883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</w:t>
      </w:r>
      <w:r w:rsidR="00506883" w:rsidRPr="00506883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e-to-one meetings with families are available to explore the various pathways available </w:t>
      </w:r>
      <w:r w:rsidR="00506883" w:rsidRPr="00506883">
        <w:rPr>
          <w:sz w:val="24"/>
          <w:szCs w:val="24"/>
          <w:lang w:val="en-GB"/>
        </w:rPr>
        <w:t xml:space="preserve"> </w:t>
      </w:r>
    </w:p>
    <w:p w:rsidR="00506883" w:rsidRPr="00506883" w:rsidRDefault="00506883" w:rsidP="00506883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 xml:space="preserve">Students in Year 10 and 11 undertake </w:t>
      </w:r>
      <w:r w:rsidR="00124CEF">
        <w:rPr>
          <w:sz w:val="24"/>
          <w:szCs w:val="24"/>
          <w:lang w:val="en-GB"/>
        </w:rPr>
        <w:t>and have</w:t>
      </w:r>
      <w:r w:rsidR="0073671D">
        <w:rPr>
          <w:sz w:val="24"/>
          <w:szCs w:val="24"/>
          <w:lang w:val="en-GB"/>
        </w:rPr>
        <w:t xml:space="preserve"> opportunity to engage in work experience programmes</w:t>
      </w:r>
    </w:p>
    <w:p w:rsidR="00506883" w:rsidRPr="00506883" w:rsidRDefault="00506883" w:rsidP="00506883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Families are informed and communicated with throughout the process and a work experience agreement form and work experience information form are completed.</w:t>
      </w:r>
    </w:p>
    <w:p w:rsidR="00506883" w:rsidRDefault="00506883" w:rsidP="00506883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 xml:space="preserve">All students on placement are covered by the employers’ insurance and places of work are risk assessed by </w:t>
      </w:r>
      <w:r w:rsidR="0073671D">
        <w:rPr>
          <w:sz w:val="24"/>
          <w:szCs w:val="24"/>
          <w:lang w:val="en-GB"/>
        </w:rPr>
        <w:t>Hampshire Futures</w:t>
      </w:r>
    </w:p>
    <w:p w:rsidR="00506883" w:rsidRDefault="00506883" w:rsidP="00506883">
      <w:pPr>
        <w:rPr>
          <w:b/>
          <w:sz w:val="24"/>
          <w:szCs w:val="24"/>
          <w:lang w:val="en-GB"/>
        </w:rPr>
      </w:pPr>
    </w:p>
    <w:p w:rsidR="00506883" w:rsidRPr="00506883" w:rsidRDefault="00506883" w:rsidP="00506883">
      <w:pPr>
        <w:rPr>
          <w:b/>
          <w:sz w:val="24"/>
          <w:szCs w:val="24"/>
          <w:lang w:val="en-GB"/>
        </w:rPr>
      </w:pPr>
      <w:r w:rsidRPr="00506883">
        <w:rPr>
          <w:b/>
          <w:sz w:val="24"/>
          <w:szCs w:val="24"/>
          <w:lang w:val="en-GB"/>
        </w:rPr>
        <w:t>Providers Access Policy Statement</w:t>
      </w:r>
    </w:p>
    <w:p w:rsidR="00506883" w:rsidRPr="00506883" w:rsidRDefault="00506883" w:rsidP="00506883">
      <w:pPr>
        <w:rPr>
          <w:b/>
          <w:sz w:val="24"/>
          <w:szCs w:val="24"/>
          <w:lang w:val="en-GB"/>
        </w:rPr>
      </w:pPr>
      <w:r w:rsidRPr="00506883">
        <w:rPr>
          <w:b/>
          <w:sz w:val="24"/>
          <w:szCs w:val="24"/>
          <w:lang w:val="en-GB"/>
        </w:rPr>
        <w:t xml:space="preserve">Introduction </w:t>
      </w:r>
    </w:p>
    <w:p w:rsidR="00506883" w:rsidRPr="00506883" w:rsidRDefault="00506883" w:rsidP="00506883">
      <w:p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 xml:space="preserve">This policy statement sets out </w:t>
      </w:r>
      <w:r w:rsidR="00D75E10">
        <w:rPr>
          <w:sz w:val="24"/>
          <w:szCs w:val="24"/>
          <w:lang w:val="en-GB"/>
        </w:rPr>
        <w:t>Smannell Field School</w:t>
      </w:r>
      <w:r w:rsidR="0073671D">
        <w:rPr>
          <w:sz w:val="24"/>
          <w:szCs w:val="24"/>
          <w:lang w:val="en-GB"/>
        </w:rPr>
        <w:t>’s</w:t>
      </w:r>
      <w:r w:rsidRPr="00506883">
        <w:rPr>
          <w:sz w:val="24"/>
          <w:szCs w:val="24"/>
          <w:lang w:val="en-GB"/>
        </w:rPr>
        <w:t xml:space="preserve"> arrangements for managing the access of providers to pupils at the </w:t>
      </w:r>
      <w:r w:rsidR="00550319">
        <w:rPr>
          <w:sz w:val="24"/>
          <w:szCs w:val="24"/>
          <w:lang w:val="en-GB"/>
        </w:rPr>
        <w:t>Centre</w:t>
      </w:r>
      <w:r w:rsidRPr="00506883">
        <w:rPr>
          <w:sz w:val="24"/>
          <w:szCs w:val="24"/>
          <w:lang w:val="en-GB"/>
        </w:rPr>
        <w:t xml:space="preserve"> for the purpose of giving them information about the provider’s education or training offer. This complies with the </w:t>
      </w:r>
      <w:r w:rsidR="00550319">
        <w:rPr>
          <w:sz w:val="24"/>
          <w:szCs w:val="24"/>
          <w:lang w:val="en-GB"/>
        </w:rPr>
        <w:t>Centre</w:t>
      </w:r>
      <w:r w:rsidRPr="00506883">
        <w:rPr>
          <w:sz w:val="24"/>
          <w:szCs w:val="24"/>
          <w:lang w:val="en-GB"/>
        </w:rPr>
        <w:t>’s legal obligations under Section 42B of the Education Act 1997.</w:t>
      </w:r>
    </w:p>
    <w:p w:rsidR="00773130" w:rsidRDefault="00773130" w:rsidP="00506883">
      <w:pPr>
        <w:rPr>
          <w:sz w:val="24"/>
          <w:szCs w:val="24"/>
          <w:lang w:val="en-GB"/>
        </w:rPr>
      </w:pPr>
    </w:p>
    <w:p w:rsidR="00506883" w:rsidRPr="00506883" w:rsidRDefault="00506883" w:rsidP="00506883">
      <w:pPr>
        <w:rPr>
          <w:b/>
          <w:sz w:val="24"/>
          <w:szCs w:val="24"/>
          <w:lang w:val="en-GB"/>
        </w:rPr>
      </w:pPr>
      <w:r w:rsidRPr="00506883">
        <w:rPr>
          <w:b/>
          <w:sz w:val="24"/>
          <w:szCs w:val="24"/>
          <w:lang w:val="en-GB"/>
        </w:rPr>
        <w:t xml:space="preserve">Pupil entitlement </w:t>
      </w:r>
    </w:p>
    <w:p w:rsidR="00506883" w:rsidRPr="00506883" w:rsidRDefault="00506883" w:rsidP="00506883">
      <w:p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All pupils in years 8-13 are entitled:</w:t>
      </w:r>
    </w:p>
    <w:p w:rsidR="00506883" w:rsidRPr="00506883" w:rsidRDefault="00506883" w:rsidP="005068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to find out about technical education qualifications and apprenticeships opportunities, as part of a careers programme which provides information on the full range of education and training options available at each transition point;</w:t>
      </w:r>
    </w:p>
    <w:p w:rsidR="00506883" w:rsidRPr="00506883" w:rsidRDefault="00506883" w:rsidP="005068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lastRenderedPageBreak/>
        <w:t>to hear from a range of local providers about the opportunities they offer, including technical education and apprenticeships – through options events, assemblies and group discussions and taster events;</w:t>
      </w:r>
    </w:p>
    <w:p w:rsidR="00506883" w:rsidRPr="00506883" w:rsidRDefault="00506883" w:rsidP="005068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to understand how to make applications for the full range of academic and technical courses.</w:t>
      </w:r>
    </w:p>
    <w:p w:rsidR="00506883" w:rsidRPr="00506883" w:rsidRDefault="00506883" w:rsidP="00506883">
      <w:p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 </w:t>
      </w:r>
    </w:p>
    <w:p w:rsidR="00506883" w:rsidRPr="008704EC" w:rsidRDefault="00506883" w:rsidP="00506883">
      <w:pPr>
        <w:rPr>
          <w:b/>
          <w:sz w:val="24"/>
          <w:szCs w:val="24"/>
          <w:lang w:val="en-GB"/>
        </w:rPr>
      </w:pPr>
      <w:r w:rsidRPr="008704EC">
        <w:rPr>
          <w:b/>
          <w:sz w:val="24"/>
          <w:szCs w:val="24"/>
          <w:lang w:val="en-GB"/>
        </w:rPr>
        <w:t xml:space="preserve">Management of provider access requests </w:t>
      </w:r>
    </w:p>
    <w:p w:rsidR="00506883" w:rsidRPr="008704EC" w:rsidRDefault="00506883" w:rsidP="00506883">
      <w:pPr>
        <w:rPr>
          <w:b/>
          <w:sz w:val="24"/>
          <w:szCs w:val="24"/>
          <w:lang w:val="en-GB"/>
        </w:rPr>
      </w:pPr>
      <w:r w:rsidRPr="008704EC">
        <w:rPr>
          <w:b/>
          <w:sz w:val="24"/>
          <w:szCs w:val="24"/>
          <w:lang w:val="en-GB"/>
        </w:rPr>
        <w:t>Procedure:</w:t>
      </w:r>
    </w:p>
    <w:p w:rsidR="00506883" w:rsidRPr="00506883" w:rsidRDefault="00506883" w:rsidP="00506883">
      <w:p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 xml:space="preserve">A provider wishing to request access should contact </w:t>
      </w:r>
      <w:r w:rsidR="008704EC">
        <w:rPr>
          <w:sz w:val="24"/>
          <w:szCs w:val="24"/>
          <w:lang w:val="en-GB"/>
        </w:rPr>
        <w:t xml:space="preserve">the </w:t>
      </w:r>
      <w:r w:rsidR="00D75E10">
        <w:rPr>
          <w:sz w:val="24"/>
          <w:szCs w:val="24"/>
          <w:lang w:val="en-GB"/>
        </w:rPr>
        <w:t>school</w:t>
      </w:r>
      <w:r w:rsidR="0073671D">
        <w:rPr>
          <w:sz w:val="24"/>
          <w:szCs w:val="24"/>
          <w:lang w:val="en-GB"/>
        </w:rPr>
        <w:t xml:space="preserve"> on 01264 </w:t>
      </w:r>
      <w:r w:rsidR="00D75E10">
        <w:rPr>
          <w:sz w:val="24"/>
          <w:szCs w:val="24"/>
          <w:lang w:val="en-GB"/>
        </w:rPr>
        <w:t>335640</w:t>
      </w:r>
      <w:r w:rsidR="0073671D">
        <w:rPr>
          <w:sz w:val="24"/>
          <w:szCs w:val="24"/>
          <w:lang w:val="en-GB"/>
        </w:rPr>
        <w:t xml:space="preserve"> or admin@aec.hants.sch.uk</w:t>
      </w:r>
    </w:p>
    <w:p w:rsidR="00506883" w:rsidRPr="00506883" w:rsidRDefault="00506883" w:rsidP="00506883">
      <w:p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> </w:t>
      </w:r>
    </w:p>
    <w:p w:rsidR="00506883" w:rsidRPr="008704EC" w:rsidRDefault="00506883" w:rsidP="00506883">
      <w:pPr>
        <w:rPr>
          <w:b/>
          <w:sz w:val="24"/>
          <w:szCs w:val="24"/>
          <w:lang w:val="en-GB"/>
        </w:rPr>
      </w:pPr>
      <w:r w:rsidRPr="008704EC">
        <w:rPr>
          <w:b/>
          <w:sz w:val="24"/>
          <w:szCs w:val="24"/>
          <w:lang w:val="en-GB"/>
        </w:rPr>
        <w:t xml:space="preserve">Opportunities for access </w:t>
      </w:r>
    </w:p>
    <w:p w:rsidR="00506883" w:rsidRDefault="00506883" w:rsidP="00506883">
      <w:pPr>
        <w:rPr>
          <w:sz w:val="24"/>
          <w:szCs w:val="24"/>
          <w:lang w:val="en-GB"/>
        </w:rPr>
      </w:pPr>
      <w:r w:rsidRPr="00506883">
        <w:rPr>
          <w:sz w:val="24"/>
          <w:szCs w:val="24"/>
          <w:lang w:val="en-GB"/>
        </w:rPr>
        <w:t xml:space="preserve">A number of events, integrated into the </w:t>
      </w:r>
      <w:r w:rsidR="00D75E10">
        <w:rPr>
          <w:sz w:val="24"/>
          <w:szCs w:val="24"/>
          <w:lang w:val="en-GB"/>
        </w:rPr>
        <w:t>school</w:t>
      </w:r>
      <w:r w:rsidRPr="00506883">
        <w:rPr>
          <w:sz w:val="24"/>
          <w:szCs w:val="24"/>
          <w:lang w:val="en-GB"/>
        </w:rPr>
        <w:t xml:space="preserve"> careers programme, will offer providers an opportunity to come into </w:t>
      </w:r>
      <w:r w:rsidR="00550319">
        <w:rPr>
          <w:sz w:val="24"/>
          <w:szCs w:val="24"/>
          <w:lang w:val="en-GB"/>
        </w:rPr>
        <w:t>Centre</w:t>
      </w:r>
      <w:r w:rsidRPr="00506883">
        <w:rPr>
          <w:sz w:val="24"/>
          <w:szCs w:val="24"/>
          <w:lang w:val="en-GB"/>
        </w:rPr>
        <w:t xml:space="preserve"> to speak to pupils and/or their parents/carers:</w:t>
      </w:r>
    </w:p>
    <w:p w:rsidR="008704EC" w:rsidRPr="00506883" w:rsidRDefault="008704EC" w:rsidP="00506883">
      <w:pPr>
        <w:rPr>
          <w:sz w:val="24"/>
          <w:szCs w:val="24"/>
          <w:lang w:val="en-GB"/>
        </w:rPr>
      </w:pPr>
      <w:r w:rsidRPr="008704EC">
        <w:rPr>
          <w:sz w:val="24"/>
          <w:szCs w:val="24"/>
          <w:lang w:val="en-GB"/>
        </w:rPr>
        <w:t xml:space="preserve">Providers are welcome to leave a copy of their prospectus or other relevant course literature </w:t>
      </w:r>
      <w:r w:rsidR="0073671D">
        <w:rPr>
          <w:sz w:val="24"/>
          <w:szCs w:val="24"/>
          <w:lang w:val="en-GB"/>
        </w:rPr>
        <w:t xml:space="preserve">at  the </w:t>
      </w:r>
      <w:r w:rsidR="00D75E10">
        <w:rPr>
          <w:sz w:val="24"/>
          <w:szCs w:val="24"/>
          <w:lang w:val="en-GB"/>
        </w:rPr>
        <w:t>school</w:t>
      </w:r>
      <w:bookmarkStart w:id="0" w:name="_GoBack"/>
      <w:bookmarkEnd w:id="0"/>
      <w:r w:rsidRPr="008704EC">
        <w:rPr>
          <w:sz w:val="24"/>
          <w:szCs w:val="24"/>
          <w:lang w:val="en-GB"/>
        </w:rPr>
        <w:t>.  </w:t>
      </w:r>
    </w:p>
    <w:sectPr w:rsidR="008704EC" w:rsidRPr="005068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EF" w:rsidRDefault="00124CEF" w:rsidP="00124CEF">
      <w:pPr>
        <w:spacing w:after="0" w:line="240" w:lineRule="auto"/>
      </w:pPr>
      <w:r>
        <w:separator/>
      </w:r>
    </w:p>
  </w:endnote>
  <w:endnote w:type="continuationSeparator" w:id="0">
    <w:p w:rsidR="00124CEF" w:rsidRDefault="00124CEF" w:rsidP="0012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EF" w:rsidRDefault="00124CEF" w:rsidP="00124CEF">
      <w:pPr>
        <w:spacing w:after="0" w:line="240" w:lineRule="auto"/>
      </w:pPr>
      <w:r>
        <w:separator/>
      </w:r>
    </w:p>
  </w:footnote>
  <w:footnote w:type="continuationSeparator" w:id="0">
    <w:p w:rsidR="00124CEF" w:rsidRDefault="00124CEF" w:rsidP="0012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EF" w:rsidRDefault="00D75E10" w:rsidP="00124CEF">
    <w:pPr>
      <w:pStyle w:val="Header"/>
      <w:jc w:val="right"/>
    </w:pPr>
    <w:r>
      <w:t>SMANNELL FIELD SCHOOL</w:t>
    </w:r>
  </w:p>
  <w:p w:rsidR="00124CEF" w:rsidRDefault="00124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6C4"/>
    <w:multiLevelType w:val="hybridMultilevel"/>
    <w:tmpl w:val="7C7E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9DB"/>
    <w:multiLevelType w:val="hybridMultilevel"/>
    <w:tmpl w:val="158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672C"/>
    <w:multiLevelType w:val="hybridMultilevel"/>
    <w:tmpl w:val="96A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2424"/>
    <w:multiLevelType w:val="hybridMultilevel"/>
    <w:tmpl w:val="6D1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5423"/>
    <w:multiLevelType w:val="hybridMultilevel"/>
    <w:tmpl w:val="14C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13B9"/>
    <w:multiLevelType w:val="hybridMultilevel"/>
    <w:tmpl w:val="99E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D2B74"/>
    <w:multiLevelType w:val="hybridMultilevel"/>
    <w:tmpl w:val="833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A"/>
    <w:rsid w:val="00124CEF"/>
    <w:rsid w:val="0030076A"/>
    <w:rsid w:val="00506883"/>
    <w:rsid w:val="00550319"/>
    <w:rsid w:val="0073671D"/>
    <w:rsid w:val="00773130"/>
    <w:rsid w:val="008704EC"/>
    <w:rsid w:val="00C35560"/>
    <w:rsid w:val="00D75E10"/>
    <w:rsid w:val="00EE65B8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4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EF"/>
  </w:style>
  <w:style w:type="paragraph" w:styleId="Footer">
    <w:name w:val="footer"/>
    <w:basedOn w:val="Normal"/>
    <w:link w:val="FooterChar"/>
    <w:uiPriority w:val="99"/>
    <w:unhideWhenUsed/>
    <w:rsid w:val="0012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4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EF"/>
  </w:style>
  <w:style w:type="paragraph" w:styleId="Footer">
    <w:name w:val="footer"/>
    <w:basedOn w:val="Normal"/>
    <w:link w:val="FooterChar"/>
    <w:uiPriority w:val="99"/>
    <w:unhideWhenUsed/>
    <w:rsid w:val="0012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AEDNEY6</cp:lastModifiedBy>
  <cp:revision>2</cp:revision>
  <dcterms:created xsi:type="dcterms:W3CDTF">2019-02-21T13:27:00Z</dcterms:created>
  <dcterms:modified xsi:type="dcterms:W3CDTF">2019-02-21T13:27:00Z</dcterms:modified>
</cp:coreProperties>
</file>